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20" w:before="2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Critical and Creative Thinking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80" w:lineRule="auto"/>
        <w:rPr/>
      </w:pPr>
      <w:r w:rsidDel="00000000" w:rsidR="00000000" w:rsidRPr="00000000">
        <w:rPr>
          <w:rtl w:val="0"/>
        </w:rPr>
        <w:t xml:space="preserve">Critical and creative thinking capability aims to ensure that students develop: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60" w:lineRule="auto"/>
        <w:ind w:left="10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understanding of thinking processes and an ability to manage and apply these intentionally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Rule="auto"/>
        <w:ind w:left="10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skills and learning dispositions that support logical, strategic, flexible and adventurous thinking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00" w:before="0" w:beforeAutospacing="0" w:lineRule="auto"/>
        <w:ind w:left="1060" w:hanging="36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confidence in evaluating thinking and thinking processes across a range of familiar and unfamiliar context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63636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