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before="2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 </w:t>
      </w:r>
    </w:p>
    <w:p w:rsidR="00000000" w:rsidDel="00000000" w:rsidP="00000000" w:rsidRDefault="00000000" w:rsidRPr="00000000" w14:paraId="00000002">
      <w:pPr>
        <w:spacing w:after="220" w:before="220" w:lineRule="auto"/>
        <w:rPr/>
      </w:pPr>
      <w:r w:rsidDel="00000000" w:rsidR="00000000" w:rsidRPr="00000000">
        <w:rPr>
          <w:rtl w:val="0"/>
        </w:rPr>
        <w:t xml:space="preserve">The English curriculum aims to ensure that students: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2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learn to listen to, read, view, speak, write, create and reflect on increasingly complex and sophisticated spoken and written texts across a growing range of contexts with accuracy, fluency and purpose;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appreciate, enjoy and use the English language in all its variations and develop a sense of its richness and power to evoke feelings, convey information, form ideas, facilitate interaction with others, entertain, persuade and argue;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understand how Standard Australian English works in its spoken and written forms and in combination with non-linguistic forms of communication to create meaning; and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2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develop interest and skills in inquiring into the aesthetic aspects of texts, and develop an informed appreciation of literature.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